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rFonts w:ascii="黑体" w:cs="黑体" w:hAnsi="黑体" w:eastAsia="黑体"/>
          <w:b w:val="1"/>
          <w:bCs w:val="1"/>
          <w:sz w:val="36"/>
          <w:szCs w:val="36"/>
          <w:lang w:val="zh-TW" w:eastAsia="zh-TW"/>
        </w:rPr>
      </w:pPr>
      <w:r>
        <w:rPr>
          <w:rFonts w:ascii="黑体" w:cs="黑体" w:hAnsi="黑体" w:eastAsia="黑体"/>
          <w:b w:val="1"/>
          <w:bCs w:val="1"/>
          <w:sz w:val="36"/>
          <w:szCs w:val="36"/>
          <w:rtl w:val="0"/>
          <w:lang w:val="zh-TW" w:eastAsia="zh-TW"/>
        </w:rPr>
        <w:t>学院基本情况</w:t>
      </w:r>
    </w:p>
    <w:p>
      <w:pPr>
        <w:pStyle w:val="Normal.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、学院办学理念：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增能力、强体魄、提素质、筑基础。</w:t>
      </w:r>
    </w:p>
    <w:p>
      <w:pPr>
        <w:pStyle w:val="Normal.0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、教师结构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全院教职工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71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人，专任教师（专职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+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兼职）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144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人，专职教师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63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人，兼职教师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81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人，行政管理人员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人，实验技术人员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5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人。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外语教研室：专职教师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28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人，兼职教师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4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人，教辅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人；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体育教研室：专职教师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人，兼职教师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5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人，教辅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人；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医用物理与数学教研室：专职教师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10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人，兼职教师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人，教辅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人；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创新创业与职业发展教研室：专职教师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人，兼职教师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69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人。</w:t>
      </w:r>
    </w:p>
    <w:p>
      <w:pPr>
        <w:pStyle w:val="Normal.0"/>
        <w:spacing w:line="520" w:lineRule="exact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、基本设施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数字多媒体语言实验室：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8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 xml:space="preserve">间 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x 72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座位；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体育教学场地（新老校区共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2.79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万平方米）；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个田径场地、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个室内体育馆、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18+4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个篮球场、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个排球场、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个网球场；</w:t>
      </w:r>
    </w:p>
    <w:p>
      <w:pPr>
        <w:pStyle w:val="Normal.0"/>
        <w:spacing w:line="520" w:lineRule="exact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物理实验室：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5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间。</w:t>
      </w:r>
    </w:p>
    <w:p>
      <w:pPr>
        <w:pStyle w:val="Normal.0"/>
        <w:widowControl w:val="1"/>
        <w:jc w:val="left"/>
      </w:pPr>
      <w:r>
        <w:rPr>
          <w:rFonts w:ascii="仿宋" w:cs="仿宋" w:hAnsi="仿宋" w:eastAsia="仿宋"/>
          <w:sz w:val="28"/>
          <w:szCs w:val="28"/>
        </w:rPr>
        <w:br w:type="page"/>
      </w:r>
    </w:p>
    <w:p>
      <w:pPr>
        <w:pStyle w:val="Normal.0"/>
        <w:jc w:val="center"/>
        <w:rPr>
          <w:rFonts w:ascii="黑体" w:cs="黑体" w:hAnsi="黑体" w:eastAsia="黑体"/>
          <w:b w:val="1"/>
          <w:bCs w:val="1"/>
          <w:sz w:val="36"/>
          <w:szCs w:val="36"/>
          <w:lang w:val="zh-TW" w:eastAsia="zh-TW"/>
        </w:rPr>
      </w:pPr>
      <w:r>
        <w:rPr>
          <w:rFonts w:ascii="黑体" w:cs="黑体" w:hAnsi="黑体" w:eastAsia="黑体"/>
          <w:b w:val="1"/>
          <w:bCs w:val="1"/>
          <w:sz w:val="36"/>
          <w:szCs w:val="36"/>
          <w:rtl w:val="0"/>
          <w:lang w:val="zh-TW" w:eastAsia="zh-TW"/>
        </w:rPr>
        <w:t>公共基础教学</w:t>
      </w:r>
    </w:p>
    <w:p>
      <w:pPr>
        <w:pStyle w:val="Normal.0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、公共基础教学办学思路：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特色发展、强基固本，实现学校人才培养总目标。</w:t>
      </w:r>
    </w:p>
    <w:p>
      <w:pPr>
        <w:pStyle w:val="Normal.0"/>
        <w:spacing w:line="520" w:lineRule="exact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、教学改革措施</w:t>
      </w:r>
    </w:p>
    <w:p>
      <w:pPr>
        <w:pStyle w:val="Normal.0"/>
        <w:spacing w:line="520" w:lineRule="exact"/>
        <w:ind w:firstLine="562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）体育课程教学俱乐部制改革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，成立篮球、足球、排球、手球等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个体育俱乐部，体质健康测试达标率提升至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92%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；</w:t>
      </w:r>
    </w:p>
    <w:p>
      <w:pPr>
        <w:pStyle w:val="Normal.0"/>
        <w:spacing w:line="520" w:lineRule="exact"/>
        <w:ind w:firstLine="562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）英语一本口语教学改革，专业英语改革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，建立分级题库，学生四级英语整体通过率保持在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82%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以上，全校一次通过率在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35%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左右。</w:t>
      </w:r>
    </w:p>
    <w:p>
      <w:pPr>
        <w:pStyle w:val="Normal.0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、开设课程：</w:t>
      </w:r>
    </w:p>
    <w:p>
      <w:pPr>
        <w:pStyle w:val="Normal.0"/>
        <w:ind w:firstLine="562"/>
        <w:rPr>
          <w:rFonts w:ascii="仿宋" w:cs="仿宋" w:hAnsi="仿宋" w:eastAsia="仿宋"/>
          <w:sz w:val="28"/>
          <w:szCs w:val="28"/>
          <w:lang w:val="zh-TW" w:eastAsia="zh-TW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CN" w:eastAsia="zh-CN"/>
        </w:rPr>
        <w:t>1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CN" w:eastAsia="zh-CN"/>
        </w:rPr>
        <w:t>）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外语：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大学英语、心理英语、专业英语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；</w:t>
      </w:r>
    </w:p>
    <w:p>
      <w:pPr>
        <w:pStyle w:val="Normal.0"/>
        <w:ind w:firstLine="562"/>
        <w:rPr>
          <w:rFonts w:ascii="仿宋" w:cs="仿宋" w:hAnsi="仿宋" w:eastAsia="仿宋"/>
          <w:sz w:val="28"/>
          <w:szCs w:val="28"/>
          <w:lang w:val="zh-TW" w:eastAsia="zh-TW"/>
        </w:rPr>
      </w:pP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）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体育：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大学体育（篮球、足球、排球、羽毛球、乒乓球、网球、健美操、武术、太极、跆拳道、手球、体育舞蹈、瑜伽）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；</w:t>
      </w:r>
    </w:p>
    <w:p>
      <w:pPr>
        <w:pStyle w:val="Normal.0"/>
        <w:ind w:firstLine="562"/>
        <w:rPr>
          <w:rFonts w:ascii="仿宋" w:cs="仿宋" w:hAnsi="仿宋" w:eastAsia="仿宋"/>
          <w:sz w:val="28"/>
          <w:szCs w:val="28"/>
          <w:lang w:val="zh-TW" w:eastAsia="zh-TW"/>
        </w:rPr>
      </w:pP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）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医用物理与数学：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大学物理、医学物理学、线性代数、概率论与数理统计、高等数学、高等数学（微积分）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；</w:t>
      </w:r>
    </w:p>
    <w:p>
      <w:pPr>
        <w:pStyle w:val="Normal.0"/>
        <w:ind w:firstLine="562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4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）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创新创业：</w:t>
      </w:r>
      <w:bookmarkStart w:name="_Hlk531250604" w:id="0"/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大学生职业发展与就业指导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、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bookmarkEnd w:id="0"/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。</w:t>
      </w:r>
    </w:p>
    <w:p>
      <w:pPr>
        <w:pStyle w:val="Normal.0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、教师各类教学竞赛获奖情况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获省级及以上一等奖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项，校级一等奖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，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获各类二等奖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10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，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三等奖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10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项。</w:t>
      </w:r>
    </w:p>
    <w:p>
      <w:pPr>
        <w:pStyle w:val="Normal.0"/>
      </w:pPr>
    </w:p>
    <w:p>
      <w:pPr>
        <w:pStyle w:val="Normal.0"/>
        <w:widowControl w:val="1"/>
        <w:jc w:val="left"/>
      </w:pPr>
      <w:r>
        <w:br w:type="page"/>
      </w:r>
    </w:p>
    <w:p>
      <w:pPr>
        <w:pStyle w:val="Normal.0"/>
        <w:jc w:val="center"/>
        <w:rPr>
          <w:rFonts w:ascii="黑体" w:cs="黑体" w:hAnsi="黑体" w:eastAsia="黑体"/>
          <w:b w:val="1"/>
          <w:bCs w:val="1"/>
          <w:sz w:val="36"/>
          <w:szCs w:val="36"/>
          <w:lang w:val="zh-TW" w:eastAsia="zh-TW"/>
        </w:rPr>
      </w:pPr>
      <w:r>
        <w:rPr>
          <w:rFonts w:ascii="黑体" w:cs="黑体" w:hAnsi="黑体" w:eastAsia="黑体"/>
          <w:b w:val="1"/>
          <w:bCs w:val="1"/>
          <w:sz w:val="36"/>
          <w:szCs w:val="36"/>
          <w:rtl w:val="0"/>
          <w:lang w:val="zh-TW" w:eastAsia="zh-TW"/>
        </w:rPr>
        <w:t>创新创业工作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创新创业工作思路</w:t>
      </w:r>
    </w:p>
    <w:p>
      <w:pPr>
        <w:pStyle w:val="List Paragraph"/>
        <w:ind w:left="720" w:firstLine="0"/>
        <w:rPr>
          <w:rFonts w:ascii="仿宋" w:cs="仿宋" w:hAnsi="仿宋" w:eastAsia="仿宋"/>
          <w:sz w:val="28"/>
          <w:szCs w:val="28"/>
          <w:lang w:val="zh-TW" w:eastAsia="zh-TW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制度为保障、课程为基础、实践为平台、竞赛为抓手。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创新创业工作举措</w:t>
      </w:r>
    </w:p>
    <w:p>
      <w:pPr>
        <w:pStyle w:val="Normal.0"/>
        <w:ind w:left="562" w:firstLine="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）制度为保障：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8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项；</w:t>
      </w:r>
    </w:p>
    <w:p>
      <w:pPr>
        <w:pStyle w:val="Normal.0"/>
        <w:ind w:left="562" w:firstLine="0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）课程为基础：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必修课：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门（职业发展与就业指导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、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）；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网络必修课：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门（《创新思维训练》、《大学生创业导论》）；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选修课：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20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余门（线上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+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线下）；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近三年举办讲座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45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场；</w:t>
      </w:r>
    </w:p>
    <w:p>
      <w:pPr>
        <w:pStyle w:val="Normal.0"/>
        <w:ind w:firstLine="562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）实践为平台：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大学生创新创业项目训练、科研兴趣小组；</w:t>
      </w:r>
    </w:p>
    <w:p>
      <w:pPr>
        <w:pStyle w:val="Normal.0"/>
        <w:ind w:firstLine="562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）竞赛为抓手：</w:t>
      </w:r>
    </w:p>
    <w:p>
      <w:pPr>
        <w:pStyle w:val="Normal.0"/>
        <w:ind w:firstLine="562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创新创业类大赛：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国家级、省级创新创业类大赛（包含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“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互联网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+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”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创新创业大赛、大学生职业规划设计大赛暨大学生创业大赛、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“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创青春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”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全国大学生创业大赛、挑战杯大学生课外学术科技作品竞赛、安徽省百所高校百万大学生科普创意创新大赛），市级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比赛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为芜湖市大学生专利创新创业大赛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；</w:t>
      </w:r>
    </w:p>
    <w:p>
      <w:pPr>
        <w:pStyle w:val="Normal.0"/>
        <w:ind w:firstLine="562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专业技能类竞赛：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大学生临床技能竞赛、护理本科技能大赛、麻醉学知识竞赛、药学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/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中药学专业大学生实验技能竞赛、药学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/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中药学大学生创新创业暨实验教学改革大赛、大学生生物标本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/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动植物标本制作大赛、医学检验技术专业大学生形态读片大赛、大数据技术与应用大赛等。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创新创业类大赛获奖情况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近三年共获国家级二等奖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项、三等奖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项，省级一等奖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7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项，二等奖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项、三等奖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38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项，市级唯一金奖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项，特等奖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项，二等奖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7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项，三等奖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25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项。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专业竞赛列获奖情况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近三年共获国家级特等奖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项、一等奖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项、二等奖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4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项、三等奖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7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项，省级特等奖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项、一等奖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项、二等奖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项、三等奖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项。</w:t>
      </w:r>
    </w:p>
    <w:p>
      <w:pPr>
        <w:pStyle w:val="Normal.0"/>
        <w:widowControl w:val="1"/>
        <w:jc w:val="left"/>
      </w:pPr>
      <w:r>
        <w:rPr>
          <w:rFonts w:ascii="黑体" w:cs="黑体" w:hAnsi="黑体" w:eastAsia="黑体"/>
          <w:b w:val="1"/>
          <w:bCs w:val="1"/>
          <w:sz w:val="36"/>
          <w:szCs w:val="36"/>
        </w:rPr>
        <w:br w:type="page"/>
      </w:r>
    </w:p>
    <w:p>
      <w:pPr>
        <w:pStyle w:val="Normal.0"/>
        <w:jc w:val="center"/>
        <w:rPr>
          <w:rFonts w:ascii="黑体" w:cs="黑体" w:hAnsi="黑体" w:eastAsia="黑体"/>
          <w:b w:val="1"/>
          <w:bCs w:val="1"/>
          <w:sz w:val="36"/>
          <w:szCs w:val="36"/>
          <w:lang w:val="zh-TW" w:eastAsia="zh-TW"/>
        </w:rPr>
      </w:pPr>
      <w:r>
        <w:rPr>
          <w:rFonts w:ascii="黑体" w:cs="黑体" w:hAnsi="黑体" w:eastAsia="黑体"/>
          <w:b w:val="1"/>
          <w:bCs w:val="1"/>
          <w:sz w:val="36"/>
          <w:szCs w:val="36"/>
          <w:rtl w:val="0"/>
          <w:lang w:val="zh-TW" w:eastAsia="zh-TW"/>
        </w:rPr>
        <w:t>学生体育工作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学生体育工作工作思路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  <w:lang w:val="zh-TW" w:eastAsia="zh-TW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以学生兴趣为导向，教学内容个性化、教学形式多样化、教学评价过程化、课内课外一体化。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体育获奖情况</w:t>
      </w:r>
      <w:r>
        <w:rPr>
          <w:rFonts w:ascii="仿宋" w:cs="仿宋" w:hAnsi="仿宋" w:eastAsia="仿宋"/>
          <w:b w:val="0"/>
          <w:bCs w:val="0"/>
          <w:sz w:val="28"/>
          <w:szCs w:val="28"/>
          <w:rtl w:val="0"/>
          <w:lang w:val="zh-TW" w:eastAsia="zh-TW"/>
        </w:rPr>
        <w:t>（大学生运动会以及各类体育专项比赛，统计截止</w:t>
      </w:r>
      <w:r>
        <w:rPr>
          <w:rFonts w:ascii="仿宋" w:cs="仿宋" w:hAnsi="仿宋" w:eastAsia="仿宋"/>
          <w:b w:val="0"/>
          <w:bCs w:val="0"/>
          <w:sz w:val="28"/>
          <w:szCs w:val="28"/>
          <w:rtl w:val="0"/>
          <w:lang w:val="zh-TW" w:eastAsia="zh-TW"/>
        </w:rPr>
        <w:t>于</w:t>
      </w:r>
      <w:r>
        <w:rPr>
          <w:rFonts w:ascii="仿宋" w:cs="仿宋" w:hAnsi="仿宋" w:eastAsia="仿宋"/>
          <w:b w:val="0"/>
          <w:bCs w:val="0"/>
          <w:sz w:val="28"/>
          <w:szCs w:val="28"/>
          <w:rtl w:val="0"/>
          <w:lang w:val="en-US"/>
        </w:rPr>
        <w:t>2018</w:t>
      </w:r>
      <w:r>
        <w:rPr>
          <w:rFonts w:ascii="仿宋" w:cs="仿宋" w:hAnsi="仿宋" w:eastAsia="仿宋"/>
          <w:b w:val="0"/>
          <w:bCs w:val="0"/>
          <w:sz w:val="28"/>
          <w:szCs w:val="28"/>
          <w:rtl w:val="0"/>
          <w:lang w:val="zh-TW" w:eastAsia="zh-TW"/>
        </w:rPr>
        <w:t>年</w:t>
      </w:r>
      <w:r>
        <w:rPr>
          <w:rFonts w:ascii="仿宋" w:cs="仿宋" w:hAnsi="仿宋" w:eastAsia="仿宋"/>
          <w:b w:val="0"/>
          <w:bCs w:val="0"/>
          <w:sz w:val="28"/>
          <w:szCs w:val="28"/>
          <w:rtl w:val="0"/>
          <w:lang w:val="en-US"/>
        </w:rPr>
        <w:t>10</w:t>
      </w:r>
      <w:r>
        <w:rPr>
          <w:rFonts w:ascii="仿宋" w:cs="仿宋" w:hAnsi="仿宋" w:eastAsia="仿宋"/>
          <w:b w:val="0"/>
          <w:bCs w:val="0"/>
          <w:sz w:val="28"/>
          <w:szCs w:val="28"/>
          <w:rtl w:val="0"/>
          <w:lang w:val="zh-TW" w:eastAsia="zh-TW"/>
        </w:rPr>
        <w:t>月）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省级及以上比赛一等奖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40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项，二等奖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41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项，三等奖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26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项。其中金牌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10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枚，银牌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14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枚，铜牌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16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枚。</w:t>
      </w:r>
    </w:p>
    <w:p>
      <w:pPr>
        <w:pStyle w:val="Normal.0"/>
        <w:jc w:val="center"/>
        <w:rPr>
          <w:rFonts w:ascii="黑体" w:cs="黑体" w:hAnsi="黑体" w:eastAsia="黑体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Fonts w:ascii="仿宋" w:cs="仿宋" w:hAnsi="仿宋" w:eastAsia="仿宋"/>
          <w:sz w:val="28"/>
          <w:szCs w:val="28"/>
          <w:lang w:val="zh-TW" w:eastAsia="zh-TW"/>
        </w:rPr>
      </w:pPr>
      <w:r>
        <w:rPr>
          <w:rFonts w:ascii="黑体" w:cs="黑体" w:hAnsi="黑体" w:eastAsia="黑体"/>
          <w:b w:val="1"/>
          <w:bCs w:val="1"/>
          <w:sz w:val="36"/>
          <w:szCs w:val="36"/>
          <w:rtl w:val="0"/>
          <w:lang w:val="zh-TW" w:eastAsia="zh-TW"/>
        </w:rPr>
        <w:t>外语比赛获奖情况</w:t>
      </w:r>
    </w:p>
    <w:p>
      <w:pPr>
        <w:pStyle w:val="Normal.0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“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外研社杯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”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英语竞赛获奖情况（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CN" w:eastAsia="zh-CN"/>
        </w:rPr>
        <w:t>20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15-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CN" w:eastAsia="zh-CN"/>
        </w:rPr>
        <w:t>20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17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CN" w:eastAsia="zh-CN"/>
        </w:rPr>
        <w:t>年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）</w:t>
      </w:r>
    </w:p>
    <w:p>
      <w:pPr>
        <w:pStyle w:val="Normal.0"/>
        <w:ind w:firstLine="560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省级一等奖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项，二等奖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项，三等奖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4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项。</w:t>
      </w:r>
    </w:p>
    <w:p>
      <w:pPr>
        <w:pStyle w:val="Normal.0"/>
        <w:rPr>
          <w:rFonts w:ascii="仿宋" w:cs="仿宋" w:hAnsi="仿宋" w:eastAsia="仿宋"/>
          <w:b w:val="1"/>
          <w:bCs w:val="1"/>
          <w:sz w:val="28"/>
          <w:szCs w:val="28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、大学生英语竞赛获奖情况（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CN" w:eastAsia="zh-CN"/>
        </w:rPr>
        <w:t>20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15-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CN" w:eastAsia="zh-CN"/>
        </w:rPr>
        <w:t>20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en-US"/>
        </w:rPr>
        <w:t>17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CN" w:eastAsia="zh-CN"/>
        </w:rPr>
        <w:t>年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）</w:t>
      </w:r>
    </w:p>
    <w:p>
      <w:pPr>
        <w:pStyle w:val="List Paragraph"/>
        <w:ind w:left="720" w:firstLine="0"/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省级特等奖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2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项，一等奖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15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项。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等线">
    <w:charset w:val="00"/>
    <w:family w:val="roman"/>
    <w:pitch w:val="default"/>
  </w:font>
  <w:font w:name="黑体">
    <w:charset w:val="00"/>
    <w:family w:val="roman"/>
    <w:pitch w:val="default"/>
  </w:font>
  <w:font w:name="仿宋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260" w:hanging="5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8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520" w:hanging="5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780" w:hanging="5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已导入的样式“2”"/>
  </w:abstractNum>
  <w:abstractNum w:abstractNumId="3">
    <w:multiLevelType w:val="hybridMultilevel"/>
    <w:styleLink w:val="已导入的样式“2”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260" w:hanging="5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8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520" w:hanging="5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780" w:hanging="5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numbering" w:styleId="已导入的样式“1”">
    <w:name w:val="已导入的样式“1”"/>
    <w:pPr>
      <w:numPr>
        <w:numId w:val="1"/>
      </w:numPr>
    </w:pPr>
  </w:style>
  <w:style w:type="numbering" w:styleId="已导入的样式“2”">
    <w:name w:val="已导入的样式“2”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